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 xml:space="preserve">R4-2302906 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Athens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Greece</w:t>
      </w:r>
      <w:r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27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Feb</w:t>
      </w:r>
      <w:r>
        <w:rPr>
          <w:rFonts w:ascii="Arial" w:hAnsi="Arial"/>
          <w:b/>
          <w:sz w:val="24"/>
          <w:szCs w:val="24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  <w:bookmarkStart w:id="0" w:name="_GoBack"/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rd</w:t>
      </w:r>
      <w:bookmarkEnd w:id="0"/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Mar</w:t>
      </w:r>
      <w:r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3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4"/>
        </w:rPr>
        <w:t>WF for IoT over NTN SAN RF conformance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r>
        <w:rPr>
          <w:rFonts w:hint="eastAsia" w:ascii="Arial" w:hAnsi="Arial" w:cs="Arial"/>
          <w:sz w:val="22"/>
          <w:lang w:val="en-US" w:eastAsia="zh-CN"/>
        </w:rPr>
        <w:t>10.5.8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textAlignment w:val="auto"/>
        <w:outlineLvl w:val="1"/>
        <w:rPr>
          <w:rFonts w:hint="default" w:eastAsia="宋体"/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Core requirement:</w:t>
      </w: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 xml:space="preserve">Issue </w:t>
      </w:r>
      <w:r>
        <w:rPr>
          <w:rFonts w:hint="eastAsia"/>
          <w:b/>
          <w:highlight w:val="none"/>
          <w:u w:val="single"/>
        </w:rPr>
        <w:t>2</w:t>
      </w:r>
      <w:r>
        <w:rPr>
          <w:b/>
          <w:highlight w:val="none"/>
          <w:u w:val="single"/>
        </w:rPr>
        <w:t>-</w:t>
      </w:r>
      <w:r>
        <w:rPr>
          <w:rFonts w:hint="eastAsia"/>
          <w:b/>
          <w:highlight w:val="none"/>
          <w:u w:val="single"/>
        </w:rPr>
        <w:t xml:space="preserve">1 IoT level for NB-IoT over NTN </w:t>
      </w:r>
    </w:p>
    <w:p>
      <w:pPr>
        <w:pStyle w:val="89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</w:t>
      </w:r>
      <w:r>
        <w:rPr>
          <w:rFonts w:hint="eastAsia"/>
          <w:highlight w:val="none"/>
        </w:rPr>
        <w:t xml:space="preserve">: to agree the IoT level as </w:t>
      </w:r>
      <w:r>
        <w:rPr>
          <w:rFonts w:hint="eastAsia"/>
          <w:highlight w:val="none"/>
          <w:lang w:val="en-US" w:eastAsia="zh-CN"/>
        </w:rPr>
        <w:t>31</w:t>
      </w:r>
      <w:r>
        <w:rPr>
          <w:rFonts w:hint="eastAsia"/>
          <w:highlight w:val="none"/>
        </w:rPr>
        <w:t xml:space="preserve">dBc for LEO dynamic rang requirements. </w:t>
      </w:r>
    </w:p>
    <w:p>
      <w:pPr>
        <w:pStyle w:val="89"/>
        <w:numPr>
          <w:ilvl w:val="0"/>
          <w:numId w:val="0"/>
        </w:numPr>
        <w:spacing w:line="259" w:lineRule="auto"/>
        <w:rPr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uto"/>
        <w:textAlignment w:val="auto"/>
        <w:outlineLvl w:val="1"/>
        <w:rPr>
          <w:rFonts w:hint="default"/>
          <w:b/>
          <w:highlight w:val="none"/>
          <w:u w:val="single"/>
          <w:lang w:val="en-US" w:eastAsia="zh-CN"/>
        </w:rPr>
      </w:pPr>
      <w:r>
        <w:rPr>
          <w:rFonts w:hint="eastAsia"/>
          <w:b/>
          <w:highlight w:val="none"/>
          <w:u w:val="single"/>
          <w:lang w:val="en-US" w:eastAsia="zh-CN"/>
        </w:rPr>
        <w:t>Conformance testing requirements:</w:t>
      </w:r>
    </w:p>
    <w:p>
      <w:pPr>
        <w:spacing w:line="259" w:lineRule="auto"/>
        <w:rPr>
          <w:highlight w:val="none"/>
        </w:rPr>
      </w:pP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 xml:space="preserve">Issue </w:t>
      </w:r>
      <w:r>
        <w:rPr>
          <w:rFonts w:hint="eastAsia"/>
          <w:b/>
          <w:highlight w:val="none"/>
          <w:u w:val="single"/>
        </w:rPr>
        <w:t>2</w:t>
      </w:r>
      <w:r>
        <w:rPr>
          <w:b/>
          <w:highlight w:val="none"/>
          <w:u w:val="single"/>
        </w:rPr>
        <w:t>-</w:t>
      </w:r>
      <w:r>
        <w:rPr>
          <w:rFonts w:hint="eastAsia"/>
          <w:b/>
          <w:highlight w:val="none"/>
          <w:u w:val="single"/>
        </w:rPr>
        <w:t xml:space="preserve">2-1 test configuration  </w:t>
      </w:r>
    </w:p>
    <w:p>
      <w:pPr>
        <w:pStyle w:val="89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Proposals</w:t>
      </w:r>
    </w:p>
    <w:p>
      <w:pPr>
        <w:pStyle w:val="89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rFonts w:hint="eastAsia"/>
          <w:highlight w:val="none"/>
        </w:rPr>
        <w:t>Proposal 1: to use ETC1 and ETC6 for IoT over NTN SAN test configuration and FFS for ETC7. [ZTE, R4-2301738]</w:t>
      </w:r>
    </w:p>
    <w:p>
      <w:pPr>
        <w:pStyle w:val="89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Agreement: Proposal 1 agreed</w:t>
      </w: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 xml:space="preserve">Issue </w:t>
      </w:r>
      <w:r>
        <w:rPr>
          <w:rFonts w:hint="eastAsia"/>
          <w:b/>
          <w:highlight w:val="none"/>
          <w:u w:val="single"/>
        </w:rPr>
        <w:t>2</w:t>
      </w:r>
      <w:r>
        <w:rPr>
          <w:b/>
          <w:highlight w:val="none"/>
          <w:u w:val="single"/>
        </w:rPr>
        <w:t>-</w:t>
      </w:r>
      <w:r>
        <w:rPr>
          <w:rFonts w:hint="eastAsia"/>
          <w:b/>
          <w:highlight w:val="none"/>
          <w:u w:val="single"/>
        </w:rPr>
        <w:t xml:space="preserve">2-2 test case  </w:t>
      </w:r>
    </w:p>
    <w:p>
      <w:pPr>
        <w:pStyle w:val="89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Using Rel-17 NTN SAN approach as starting point. </w:t>
      </w:r>
    </w:p>
    <w:p>
      <w:pPr>
        <w:spacing w:line="259" w:lineRule="auto"/>
        <w:rPr>
          <w:highlight w:val="none"/>
        </w:rPr>
      </w:pP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 xml:space="preserve">Issue </w:t>
      </w:r>
      <w:r>
        <w:rPr>
          <w:rFonts w:hint="eastAsia"/>
          <w:b/>
          <w:highlight w:val="none"/>
          <w:u w:val="single"/>
        </w:rPr>
        <w:t>2</w:t>
      </w:r>
      <w:r>
        <w:rPr>
          <w:b/>
          <w:highlight w:val="none"/>
          <w:u w:val="single"/>
        </w:rPr>
        <w:t>-</w:t>
      </w:r>
      <w:r>
        <w:rPr>
          <w:rFonts w:hint="eastAsia"/>
          <w:b/>
          <w:highlight w:val="none"/>
          <w:u w:val="single"/>
        </w:rPr>
        <w:t>2-3 test model for for eMTC over NTN</w:t>
      </w:r>
    </w:p>
    <w:p>
      <w:pPr>
        <w:pStyle w:val="89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Proposals</w:t>
      </w:r>
    </w:p>
    <w:p>
      <w:pPr>
        <w:pStyle w:val="89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rFonts w:hint="eastAsia"/>
          <w:highlight w:val="none"/>
        </w:rPr>
        <w:t>Proposal 1: for eMTC over NTN, to agree with test models as above table 3 and reuse data content in clause 6.1.2 in TS36.141 for IoT NTN SAN conformance testing for both type 1-H and type 1-O.  [ZTE, R4-2301738]</w:t>
      </w:r>
    </w:p>
    <w:p>
      <w:pPr>
        <w:pStyle w:val="89"/>
        <w:numPr>
          <w:ilvl w:val="0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 xml:space="preserve">Agreement: Proposal 1 agreed. </w:t>
      </w: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 xml:space="preserve">Issue </w:t>
      </w:r>
      <w:r>
        <w:rPr>
          <w:rFonts w:hint="eastAsia"/>
          <w:b/>
          <w:highlight w:val="none"/>
          <w:u w:val="single"/>
        </w:rPr>
        <w:t>2</w:t>
      </w:r>
      <w:r>
        <w:rPr>
          <w:b/>
          <w:highlight w:val="none"/>
          <w:u w:val="single"/>
        </w:rPr>
        <w:t>-</w:t>
      </w:r>
      <w:r>
        <w:rPr>
          <w:rFonts w:hint="eastAsia"/>
          <w:b/>
          <w:highlight w:val="none"/>
          <w:u w:val="single"/>
        </w:rPr>
        <w:t>2-4 test model for for NB-IoT over NTN</w:t>
      </w:r>
    </w:p>
    <w:p>
      <w:pPr>
        <w:pStyle w:val="89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Proposals</w:t>
      </w:r>
    </w:p>
    <w:p>
      <w:pPr>
        <w:pStyle w:val="89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rFonts w:hint="eastAsia"/>
          <w:highlight w:val="none"/>
        </w:rPr>
        <w:t>Proposal 1: for NB-IoT over NTN, to reuse the test model and data content in clause 6.1..3 and 6.1.4 for IoT over NTN SAN conformance testing. [ZTE, R4-2301738]</w:t>
      </w:r>
    </w:p>
    <w:p>
      <w:pPr>
        <w:pStyle w:val="89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Agreement:</w:t>
      </w:r>
    </w:p>
    <w:p>
      <w:pPr>
        <w:pStyle w:val="89"/>
        <w:numPr>
          <w:ilvl w:val="1"/>
          <w:numId w:val="2"/>
        </w:numPr>
        <w:spacing w:line="259" w:lineRule="auto"/>
        <w:ind w:left="1440"/>
        <w:rPr>
          <w:highlight w:val="none"/>
        </w:rPr>
      </w:pPr>
      <w:r>
        <w:rPr>
          <w:highlight w:val="none"/>
        </w:rPr>
        <w:t xml:space="preserve">Proposal 1 agreed. </w:t>
      </w:r>
    </w:p>
    <w:p>
      <w:pPr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 xml:space="preserve">Issue </w:t>
      </w:r>
      <w:r>
        <w:rPr>
          <w:rFonts w:hint="eastAsia"/>
          <w:b/>
          <w:highlight w:val="none"/>
          <w:u w:val="single"/>
        </w:rPr>
        <w:t>2</w:t>
      </w:r>
      <w:r>
        <w:rPr>
          <w:b/>
          <w:highlight w:val="none"/>
          <w:u w:val="single"/>
        </w:rPr>
        <w:t>-</w:t>
      </w:r>
      <w:r>
        <w:rPr>
          <w:rFonts w:hint="eastAsia"/>
          <w:b/>
          <w:highlight w:val="none"/>
          <w:u w:val="single"/>
        </w:rPr>
        <w:t>3 measurement setup</w:t>
      </w:r>
    </w:p>
    <w:p>
      <w:pPr>
        <w:pStyle w:val="89"/>
        <w:numPr>
          <w:ilvl w:val="0"/>
          <w:numId w:val="2"/>
        </w:numPr>
        <w:spacing w:line="259" w:lineRule="auto"/>
        <w:ind w:left="720"/>
        <w:rPr>
          <w:highlight w:val="none"/>
        </w:rPr>
      </w:pPr>
      <w:r>
        <w:rPr>
          <w:highlight w:val="none"/>
        </w:rPr>
        <w:t>Agreement</w:t>
      </w:r>
      <w:r>
        <w:rPr>
          <w:rFonts w:hint="eastAsia"/>
          <w:highlight w:val="none"/>
        </w:rPr>
        <w:t>:</w:t>
      </w:r>
      <w:r>
        <w:rPr>
          <w:highlight w:val="none"/>
        </w:rPr>
        <w:t xml:space="preserve"> </w:t>
      </w:r>
    </w:p>
    <w:p>
      <w:pPr>
        <w:pStyle w:val="89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highlight w:val="none"/>
        </w:rPr>
        <w:t>F</w:t>
      </w:r>
      <w:r>
        <w:rPr>
          <w:rFonts w:hint="eastAsia"/>
          <w:highlight w:val="none"/>
        </w:rPr>
        <w:t>or measurement setup for SAN type 1-H and 1-O, the existing generic setup in TS</w:t>
      </w:r>
      <w:r>
        <w:rPr>
          <w:highlight w:val="none"/>
        </w:rPr>
        <w:t xml:space="preserve"> </w:t>
      </w:r>
      <w:r>
        <w:rPr>
          <w:rFonts w:hint="eastAsia"/>
          <w:highlight w:val="none"/>
        </w:rPr>
        <w:t>38.181 could be reused for IoT over NTN SAN</w:t>
      </w:r>
    </w:p>
    <w:p>
      <w:pPr>
        <w:pStyle w:val="89"/>
        <w:numPr>
          <w:ilvl w:val="1"/>
          <w:numId w:val="2"/>
        </w:numPr>
        <w:spacing w:line="259" w:lineRule="auto"/>
        <w:rPr>
          <w:highlight w:val="none"/>
        </w:rPr>
      </w:pPr>
      <w:r>
        <w:rPr>
          <w:rFonts w:hint="eastAsia"/>
          <w:highlight w:val="none"/>
        </w:rPr>
        <w:t xml:space="preserve">TS 36.181 shall capture same DUT size clarification for the OTA conformance testing requirements applicability, same as captured in TS 38.181.  </w:t>
      </w:r>
    </w:p>
    <w:p>
      <w:pPr>
        <w:pStyle w:val="89"/>
        <w:spacing w:after="120"/>
        <w:ind w:firstLine="0" w:firstLineChars="0"/>
        <w:rPr>
          <w:rFonts w:hint="default" w:eastAsiaTheme="minorEastAsia"/>
          <w:color w:val="0070C0"/>
          <w:szCs w:val="20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2376" w:hanging="360"/>
      </w:pPr>
      <w:rPr>
        <w:rFonts w:hint="default" w:ascii="Symbol" w:hAnsi="Symbol"/>
      </w:rPr>
    </w:lvl>
    <w:lvl w:ilvl="3" w:tentative="0">
      <w:start w:val="1"/>
      <w:numFmt w:val="bullet"/>
      <w:lvlText w:val="o"/>
      <w:lvlJc w:val="left"/>
      <w:pPr>
        <w:ind w:left="3096" w:hanging="360"/>
      </w:pPr>
      <w:rPr>
        <w:rFonts w:hint="default" w:ascii="Courier New" w:hAnsi="Courier New" w:cs="Courier New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 w:val="1"/>
  <w:bordersDoNotSurroundHeader w:val="1"/>
  <w:bordersDoNotSurroundFooter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A379F7"/>
    <w:rsid w:val="01A56FAB"/>
    <w:rsid w:val="01A60E9F"/>
    <w:rsid w:val="02207A05"/>
    <w:rsid w:val="023114DC"/>
    <w:rsid w:val="029401D0"/>
    <w:rsid w:val="02977181"/>
    <w:rsid w:val="02C75875"/>
    <w:rsid w:val="033676B5"/>
    <w:rsid w:val="0360625D"/>
    <w:rsid w:val="03A23123"/>
    <w:rsid w:val="03A80371"/>
    <w:rsid w:val="04573544"/>
    <w:rsid w:val="04A33028"/>
    <w:rsid w:val="04A8786A"/>
    <w:rsid w:val="04C21305"/>
    <w:rsid w:val="04DE70C6"/>
    <w:rsid w:val="05D52A67"/>
    <w:rsid w:val="063467E5"/>
    <w:rsid w:val="067D2939"/>
    <w:rsid w:val="067E7AFF"/>
    <w:rsid w:val="06F90C69"/>
    <w:rsid w:val="072C24E3"/>
    <w:rsid w:val="081852B6"/>
    <w:rsid w:val="090F1D8C"/>
    <w:rsid w:val="096C5763"/>
    <w:rsid w:val="09DE3952"/>
    <w:rsid w:val="09EF24FC"/>
    <w:rsid w:val="0A467BD4"/>
    <w:rsid w:val="0A7A3A6F"/>
    <w:rsid w:val="0AB35C28"/>
    <w:rsid w:val="0AC70E4D"/>
    <w:rsid w:val="0B1B407F"/>
    <w:rsid w:val="0B861833"/>
    <w:rsid w:val="0C9639D1"/>
    <w:rsid w:val="0D6F3147"/>
    <w:rsid w:val="0DA4580A"/>
    <w:rsid w:val="0E7C32F1"/>
    <w:rsid w:val="0F302047"/>
    <w:rsid w:val="0F9A6DFD"/>
    <w:rsid w:val="0FC21761"/>
    <w:rsid w:val="10370C76"/>
    <w:rsid w:val="10421557"/>
    <w:rsid w:val="10502D2C"/>
    <w:rsid w:val="114B0315"/>
    <w:rsid w:val="114F50F0"/>
    <w:rsid w:val="11513D9D"/>
    <w:rsid w:val="11A056A8"/>
    <w:rsid w:val="11A669BC"/>
    <w:rsid w:val="12184B7C"/>
    <w:rsid w:val="12562F4F"/>
    <w:rsid w:val="12A467FF"/>
    <w:rsid w:val="12E62365"/>
    <w:rsid w:val="131A32F7"/>
    <w:rsid w:val="132449A9"/>
    <w:rsid w:val="13303256"/>
    <w:rsid w:val="133C24A6"/>
    <w:rsid w:val="141C5906"/>
    <w:rsid w:val="141D42FE"/>
    <w:rsid w:val="142D2518"/>
    <w:rsid w:val="14304C8C"/>
    <w:rsid w:val="14774D1A"/>
    <w:rsid w:val="148131EC"/>
    <w:rsid w:val="14E9666F"/>
    <w:rsid w:val="155D054E"/>
    <w:rsid w:val="15906F8D"/>
    <w:rsid w:val="15B6151F"/>
    <w:rsid w:val="15B67958"/>
    <w:rsid w:val="1638470C"/>
    <w:rsid w:val="16B769EB"/>
    <w:rsid w:val="17307051"/>
    <w:rsid w:val="17637892"/>
    <w:rsid w:val="17794CBF"/>
    <w:rsid w:val="18217321"/>
    <w:rsid w:val="18615A28"/>
    <w:rsid w:val="1886040C"/>
    <w:rsid w:val="18B25C57"/>
    <w:rsid w:val="18B451EE"/>
    <w:rsid w:val="18E04972"/>
    <w:rsid w:val="19337DCC"/>
    <w:rsid w:val="1934677A"/>
    <w:rsid w:val="19453C57"/>
    <w:rsid w:val="1AAF1954"/>
    <w:rsid w:val="1AD15F16"/>
    <w:rsid w:val="1B2D79CD"/>
    <w:rsid w:val="1C067DE7"/>
    <w:rsid w:val="1C91599E"/>
    <w:rsid w:val="1C9408FD"/>
    <w:rsid w:val="1D1835B6"/>
    <w:rsid w:val="1D741944"/>
    <w:rsid w:val="1D940B76"/>
    <w:rsid w:val="1D9416B2"/>
    <w:rsid w:val="1E140EA0"/>
    <w:rsid w:val="1EC919BF"/>
    <w:rsid w:val="1F9B19AE"/>
    <w:rsid w:val="1FB73AAB"/>
    <w:rsid w:val="20153BA1"/>
    <w:rsid w:val="202835A9"/>
    <w:rsid w:val="20501486"/>
    <w:rsid w:val="20891E56"/>
    <w:rsid w:val="213F0D56"/>
    <w:rsid w:val="2148239E"/>
    <w:rsid w:val="216653B0"/>
    <w:rsid w:val="21864CB6"/>
    <w:rsid w:val="22202406"/>
    <w:rsid w:val="22956388"/>
    <w:rsid w:val="22A1313E"/>
    <w:rsid w:val="22B93021"/>
    <w:rsid w:val="234931CD"/>
    <w:rsid w:val="23792988"/>
    <w:rsid w:val="238508AF"/>
    <w:rsid w:val="24931E5E"/>
    <w:rsid w:val="24E710A5"/>
    <w:rsid w:val="24FD0C42"/>
    <w:rsid w:val="25001F1C"/>
    <w:rsid w:val="253B23BF"/>
    <w:rsid w:val="25E124ED"/>
    <w:rsid w:val="25F5608D"/>
    <w:rsid w:val="262A0FC5"/>
    <w:rsid w:val="267E0B13"/>
    <w:rsid w:val="27542B52"/>
    <w:rsid w:val="275814A9"/>
    <w:rsid w:val="2759520B"/>
    <w:rsid w:val="28031259"/>
    <w:rsid w:val="28151B92"/>
    <w:rsid w:val="28C74028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6B7BA3"/>
    <w:rsid w:val="2CD7184A"/>
    <w:rsid w:val="2E2339D3"/>
    <w:rsid w:val="2E46730F"/>
    <w:rsid w:val="2E5C466B"/>
    <w:rsid w:val="2E643F62"/>
    <w:rsid w:val="2EB86A5A"/>
    <w:rsid w:val="2F8B1999"/>
    <w:rsid w:val="302442D9"/>
    <w:rsid w:val="303460F0"/>
    <w:rsid w:val="305808D2"/>
    <w:rsid w:val="319E17D4"/>
    <w:rsid w:val="31AE0F7B"/>
    <w:rsid w:val="32D73973"/>
    <w:rsid w:val="32F644CA"/>
    <w:rsid w:val="33024B42"/>
    <w:rsid w:val="337C596E"/>
    <w:rsid w:val="34211DC3"/>
    <w:rsid w:val="34457C7B"/>
    <w:rsid w:val="34562BD9"/>
    <w:rsid w:val="349011AD"/>
    <w:rsid w:val="34E838FF"/>
    <w:rsid w:val="35CE36F4"/>
    <w:rsid w:val="36425C10"/>
    <w:rsid w:val="36545850"/>
    <w:rsid w:val="365509D9"/>
    <w:rsid w:val="36E376B5"/>
    <w:rsid w:val="36ED18DF"/>
    <w:rsid w:val="374851A2"/>
    <w:rsid w:val="37A30542"/>
    <w:rsid w:val="37CB439B"/>
    <w:rsid w:val="38114253"/>
    <w:rsid w:val="38201F58"/>
    <w:rsid w:val="38E40EC7"/>
    <w:rsid w:val="397B2105"/>
    <w:rsid w:val="39992131"/>
    <w:rsid w:val="399D0C47"/>
    <w:rsid w:val="39C04C76"/>
    <w:rsid w:val="39F76E63"/>
    <w:rsid w:val="3A141F6C"/>
    <w:rsid w:val="3A165225"/>
    <w:rsid w:val="3A3A37F9"/>
    <w:rsid w:val="3A7C2502"/>
    <w:rsid w:val="3AA052FB"/>
    <w:rsid w:val="3B0F4575"/>
    <w:rsid w:val="3B375142"/>
    <w:rsid w:val="3B447DC6"/>
    <w:rsid w:val="3BA50EFF"/>
    <w:rsid w:val="3C916A88"/>
    <w:rsid w:val="3CA95CFB"/>
    <w:rsid w:val="3D604A2D"/>
    <w:rsid w:val="3D636270"/>
    <w:rsid w:val="3D895406"/>
    <w:rsid w:val="3D946AC2"/>
    <w:rsid w:val="3DD526CA"/>
    <w:rsid w:val="3E217D33"/>
    <w:rsid w:val="3EAF1C9E"/>
    <w:rsid w:val="3F3A5985"/>
    <w:rsid w:val="3F5B2C54"/>
    <w:rsid w:val="401B2443"/>
    <w:rsid w:val="408C5231"/>
    <w:rsid w:val="410913DA"/>
    <w:rsid w:val="41542A12"/>
    <w:rsid w:val="41940949"/>
    <w:rsid w:val="41D506BB"/>
    <w:rsid w:val="41EF7F1F"/>
    <w:rsid w:val="43205793"/>
    <w:rsid w:val="4335357A"/>
    <w:rsid w:val="43D47DA0"/>
    <w:rsid w:val="43F438D8"/>
    <w:rsid w:val="44053F42"/>
    <w:rsid w:val="44302DF3"/>
    <w:rsid w:val="44B40D3D"/>
    <w:rsid w:val="450B6A79"/>
    <w:rsid w:val="45B17F93"/>
    <w:rsid w:val="45DA3853"/>
    <w:rsid w:val="45FA07D0"/>
    <w:rsid w:val="467D52CE"/>
    <w:rsid w:val="46917266"/>
    <w:rsid w:val="48297809"/>
    <w:rsid w:val="486A7EDB"/>
    <w:rsid w:val="48FE69A5"/>
    <w:rsid w:val="4930333B"/>
    <w:rsid w:val="49570114"/>
    <w:rsid w:val="49724F29"/>
    <w:rsid w:val="49934D61"/>
    <w:rsid w:val="4A427C1B"/>
    <w:rsid w:val="4A7172F6"/>
    <w:rsid w:val="4B085909"/>
    <w:rsid w:val="4B9C56DF"/>
    <w:rsid w:val="4BB12379"/>
    <w:rsid w:val="4BF837D2"/>
    <w:rsid w:val="4C401BFB"/>
    <w:rsid w:val="4CC40142"/>
    <w:rsid w:val="4CEA793E"/>
    <w:rsid w:val="4D3A3368"/>
    <w:rsid w:val="4D661BD9"/>
    <w:rsid w:val="4DF23AA7"/>
    <w:rsid w:val="4E0B7D64"/>
    <w:rsid w:val="4E3C6CFA"/>
    <w:rsid w:val="4EB57F2A"/>
    <w:rsid w:val="4F441E2A"/>
    <w:rsid w:val="4F742231"/>
    <w:rsid w:val="4F85712F"/>
    <w:rsid w:val="4F9B779E"/>
    <w:rsid w:val="4FA10E05"/>
    <w:rsid w:val="5037224D"/>
    <w:rsid w:val="50912F82"/>
    <w:rsid w:val="50D40D95"/>
    <w:rsid w:val="51832F88"/>
    <w:rsid w:val="518F5CDD"/>
    <w:rsid w:val="521238CB"/>
    <w:rsid w:val="52A60C1E"/>
    <w:rsid w:val="53517A6B"/>
    <w:rsid w:val="53956DC5"/>
    <w:rsid w:val="53A03BFA"/>
    <w:rsid w:val="53A52556"/>
    <w:rsid w:val="53A96824"/>
    <w:rsid w:val="54A605D4"/>
    <w:rsid w:val="54D6764B"/>
    <w:rsid w:val="54F01EEF"/>
    <w:rsid w:val="55387FCD"/>
    <w:rsid w:val="555966F0"/>
    <w:rsid w:val="55940B01"/>
    <w:rsid w:val="55BF6693"/>
    <w:rsid w:val="562B6CEE"/>
    <w:rsid w:val="568E6375"/>
    <w:rsid w:val="56BC1ECE"/>
    <w:rsid w:val="56EE5F19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C50A90"/>
    <w:rsid w:val="5A081611"/>
    <w:rsid w:val="5A68496A"/>
    <w:rsid w:val="5A7B667C"/>
    <w:rsid w:val="5A9C15E1"/>
    <w:rsid w:val="5AB318EC"/>
    <w:rsid w:val="5CA21F53"/>
    <w:rsid w:val="5D166FA1"/>
    <w:rsid w:val="5D64614D"/>
    <w:rsid w:val="5D6F0A1C"/>
    <w:rsid w:val="5ED955F8"/>
    <w:rsid w:val="5F317902"/>
    <w:rsid w:val="5F645C40"/>
    <w:rsid w:val="5F952EAD"/>
    <w:rsid w:val="6077058D"/>
    <w:rsid w:val="608D1FBB"/>
    <w:rsid w:val="60D661AE"/>
    <w:rsid w:val="614B0980"/>
    <w:rsid w:val="61B665C4"/>
    <w:rsid w:val="624108BA"/>
    <w:rsid w:val="62F31145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13265A"/>
    <w:rsid w:val="66A41C30"/>
    <w:rsid w:val="67BC160E"/>
    <w:rsid w:val="67E003A2"/>
    <w:rsid w:val="68373100"/>
    <w:rsid w:val="68934EB5"/>
    <w:rsid w:val="68960123"/>
    <w:rsid w:val="68985CF0"/>
    <w:rsid w:val="68CD05A2"/>
    <w:rsid w:val="692C67D9"/>
    <w:rsid w:val="69356F95"/>
    <w:rsid w:val="695031C6"/>
    <w:rsid w:val="69EF54FA"/>
    <w:rsid w:val="6AC64296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675472"/>
    <w:rsid w:val="6E7B4B6C"/>
    <w:rsid w:val="6EBA4107"/>
    <w:rsid w:val="6F0A3EB4"/>
    <w:rsid w:val="6F21030C"/>
    <w:rsid w:val="6F8D2E83"/>
    <w:rsid w:val="70025C90"/>
    <w:rsid w:val="704903B8"/>
    <w:rsid w:val="70C608BE"/>
    <w:rsid w:val="712F05F8"/>
    <w:rsid w:val="71503782"/>
    <w:rsid w:val="7159098D"/>
    <w:rsid w:val="71652EE0"/>
    <w:rsid w:val="71996A62"/>
    <w:rsid w:val="71C550FA"/>
    <w:rsid w:val="72746F41"/>
    <w:rsid w:val="731B117A"/>
    <w:rsid w:val="74453431"/>
    <w:rsid w:val="74600BBC"/>
    <w:rsid w:val="7480655E"/>
    <w:rsid w:val="74B963D7"/>
    <w:rsid w:val="75532172"/>
    <w:rsid w:val="756537CF"/>
    <w:rsid w:val="756D0DC1"/>
    <w:rsid w:val="75A04E0F"/>
    <w:rsid w:val="75BD0535"/>
    <w:rsid w:val="760D3446"/>
    <w:rsid w:val="76237E13"/>
    <w:rsid w:val="763C35C2"/>
    <w:rsid w:val="76816645"/>
    <w:rsid w:val="76843750"/>
    <w:rsid w:val="76913F70"/>
    <w:rsid w:val="76E17762"/>
    <w:rsid w:val="771C1592"/>
    <w:rsid w:val="774F4848"/>
    <w:rsid w:val="778575B4"/>
    <w:rsid w:val="7797669F"/>
    <w:rsid w:val="77C07083"/>
    <w:rsid w:val="77D671B1"/>
    <w:rsid w:val="7867307F"/>
    <w:rsid w:val="7879720F"/>
    <w:rsid w:val="78881741"/>
    <w:rsid w:val="78A70FCA"/>
    <w:rsid w:val="79635F91"/>
    <w:rsid w:val="796631F3"/>
    <w:rsid w:val="79C97DAC"/>
    <w:rsid w:val="79EF3A9F"/>
    <w:rsid w:val="7A0B60B0"/>
    <w:rsid w:val="7A4F45D9"/>
    <w:rsid w:val="7A515AE3"/>
    <w:rsid w:val="7A634335"/>
    <w:rsid w:val="7A9A10AC"/>
    <w:rsid w:val="7A9A1912"/>
    <w:rsid w:val="7B154E9F"/>
    <w:rsid w:val="7B7F6994"/>
    <w:rsid w:val="7B9E0993"/>
    <w:rsid w:val="7BF12B0C"/>
    <w:rsid w:val="7C1B749B"/>
    <w:rsid w:val="7CF746F0"/>
    <w:rsid w:val="7D190D9F"/>
    <w:rsid w:val="7D417001"/>
    <w:rsid w:val="7D7A6B81"/>
    <w:rsid w:val="7D8037CA"/>
    <w:rsid w:val="7E122E21"/>
    <w:rsid w:val="7E592FC9"/>
    <w:rsid w:val="7E5C3A73"/>
    <w:rsid w:val="7EDF6B91"/>
    <w:rsid w:val="7EFE6536"/>
    <w:rsid w:val="7F9D3C46"/>
    <w:rsid w:val="7FBD037E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4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9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6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7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7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2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5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62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paragraph" w:customStyle="1" w:styleId="62">
    <w:name w:val="TAC"/>
    <w:basedOn w:val="63"/>
    <w:link w:val="94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paragraph" w:customStyle="1" w:styleId="63">
    <w:name w:val="TAL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64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5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6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7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8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9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70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71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2">
    <w:name w:val="NO Char"/>
    <w:link w:val="73"/>
    <w:qFormat/>
    <w:uiPriority w:val="0"/>
    <w:rPr>
      <w:rFonts w:ascii="Times New Roman" w:hAnsi="Times New Roman"/>
      <w:lang w:val="zh-CN" w:eastAsia="en-US"/>
    </w:rPr>
  </w:style>
  <w:style w:type="paragraph" w:customStyle="1" w:styleId="73">
    <w:name w:val="NO"/>
    <w:basedOn w:val="1"/>
    <w:link w:val="72"/>
    <w:qFormat/>
    <w:uiPriority w:val="0"/>
    <w:pPr>
      <w:keepLines/>
      <w:ind w:left="1135" w:hanging="851"/>
    </w:pPr>
    <w:rPr>
      <w:lang w:val="zh-CN"/>
    </w:rPr>
  </w:style>
  <w:style w:type="character" w:customStyle="1" w:styleId="74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5">
    <w:name w:val="3GPP Normal Text Char"/>
    <w:link w:val="76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6">
    <w:name w:val="3GPP Normal Text"/>
    <w:basedOn w:val="30"/>
    <w:link w:val="7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7">
    <w:name w:val="ZGSM"/>
    <w:qFormat/>
    <w:uiPriority w:val="0"/>
  </w:style>
  <w:style w:type="character" w:customStyle="1" w:styleId="78">
    <w:name w:val="CR Cover Page Char"/>
    <w:link w:val="79"/>
    <w:qFormat/>
    <w:uiPriority w:val="0"/>
    <w:rPr>
      <w:rFonts w:ascii="Arial" w:hAnsi="Arial"/>
      <w:lang w:eastAsia="en-US"/>
    </w:rPr>
  </w:style>
  <w:style w:type="paragraph" w:customStyle="1" w:styleId="79">
    <w:name w:val="CR Cover Page"/>
    <w:link w:val="78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0">
    <w:name w:val="样式 页眉 Char"/>
    <w:link w:val="81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81">
    <w:name w:val="样式 页眉"/>
    <w:basedOn w:val="39"/>
    <w:link w:val="80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2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3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PL Char"/>
    <w:link w:val="85"/>
    <w:qFormat/>
    <w:uiPriority w:val="0"/>
    <w:rPr>
      <w:rFonts w:ascii="Courier New" w:hAnsi="Courier New"/>
      <w:sz w:val="16"/>
      <w:lang w:eastAsia="en-US"/>
    </w:rPr>
  </w:style>
  <w:style w:type="paragraph" w:customStyle="1" w:styleId="8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6">
    <w:name w:val="H6 Char"/>
    <w:link w:val="87"/>
    <w:qFormat/>
    <w:uiPriority w:val="0"/>
    <w:rPr>
      <w:rFonts w:ascii="Arial" w:hAnsi="Arial"/>
      <w:szCs w:val="18"/>
      <w:lang w:val="sv-SE" w:eastAsia="zh-CN"/>
    </w:rPr>
  </w:style>
  <w:style w:type="paragraph" w:customStyle="1" w:styleId="87">
    <w:name w:val="H6"/>
    <w:basedOn w:val="6"/>
    <w:next w:val="1"/>
    <w:link w:val="86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8">
    <w:name w:val="List Paragraph Char"/>
    <w:link w:val="89"/>
    <w:qFormat/>
    <w:locked/>
    <w:uiPriority w:val="34"/>
    <w:rPr>
      <w:rFonts w:ascii="Times New Roman" w:hAnsi="Times New Roman"/>
      <w:lang w:eastAsia="en-US"/>
    </w:rPr>
  </w:style>
  <w:style w:type="paragraph" w:styleId="89">
    <w:name w:val="List Paragraph"/>
    <w:basedOn w:val="1"/>
    <w:link w:val="88"/>
    <w:qFormat/>
    <w:uiPriority w:val="34"/>
    <w:pPr>
      <w:ind w:firstLine="420" w:firstLineChars="200"/>
    </w:pPr>
  </w:style>
  <w:style w:type="character" w:customStyle="1" w:styleId="9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2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3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4">
    <w:name w:val="TAC Char"/>
    <w:link w:val="62"/>
    <w:qFormat/>
    <w:uiPriority w:val="0"/>
    <w:rPr>
      <w:rFonts w:ascii="Arial" w:hAnsi="Arial" w:eastAsia="Times New Roman"/>
      <w:sz w:val="18"/>
      <w:lang w:eastAsia="en-GB"/>
    </w:rPr>
  </w:style>
  <w:style w:type="character" w:customStyle="1" w:styleId="95">
    <w:name w:val="TAL Car"/>
    <w:link w:val="63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63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63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3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3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C941A-E0E2-49B2-AE14-A71704B58BAF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E32390C5-A3DD-4E73-BAA6-FFCF50F070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1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2023-03-02T20:17:16Z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